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820" w:rsidRDefault="00327971">
      <w:pPr>
        <w:ind w:left="180"/>
        <w:rPr>
          <w:color w:val="FFFFFF"/>
          <w:sz w:val="12"/>
          <w:szCs w:val="8"/>
        </w:rPr>
      </w:pPr>
      <w:r>
        <w:rPr>
          <w:color w:val="FFFFFF"/>
          <w:sz w:val="12"/>
          <w:szCs w:val="8"/>
        </w:rPr>
        <w:t>Зарегистрировано на: АНО "Учебно-консультационный центр "Труд"</w:t>
      </w:r>
    </w:p>
    <w:p w:rsidR="006F1820" w:rsidRDefault="006F1820">
      <w:pPr>
        <w:ind w:left="180"/>
        <w:rPr>
          <w:color w:val="FFFFFF"/>
          <w:sz w:val="12"/>
          <w:szCs w:val="8"/>
        </w:rPr>
        <w:sectPr w:rsidR="006F1820">
          <w:footerReference w:type="default" r:id="rId7"/>
          <w:pgSz w:w="16838" w:h="11906" w:orient="landscape"/>
          <w:pgMar w:top="1134" w:right="567" w:bottom="567" w:left="567" w:header="720" w:footer="720" w:gutter="0"/>
          <w:cols w:space="708"/>
          <w:docGrid w:linePitch="360"/>
        </w:sectPr>
      </w:pPr>
    </w:p>
    <w:p w:rsidR="006F1820" w:rsidRDefault="006F1820">
      <w:pPr>
        <w:ind w:left="180"/>
        <w:rPr>
          <w:sz w:val="8"/>
          <w:szCs w:val="8"/>
        </w:rPr>
      </w:pPr>
    </w:p>
    <w:p w:rsidR="006F1820" w:rsidRDefault="0032797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Перечень рабочих мест, на которых проводилась специальная оценка условий труда</w:t>
      </w:r>
    </w:p>
    <w:p w:rsidR="006F1820" w:rsidRDefault="006F1820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340"/>
        <w:gridCol w:w="720"/>
        <w:gridCol w:w="872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80"/>
        <w:gridCol w:w="704"/>
        <w:gridCol w:w="704"/>
        <w:gridCol w:w="704"/>
        <w:gridCol w:w="704"/>
        <w:gridCol w:w="704"/>
      </w:tblGrid>
      <w:tr w:rsidR="006F1820">
        <w:trPr>
          <w:trHeight w:val="597"/>
        </w:trPr>
        <w:tc>
          <w:tcPr>
            <w:tcW w:w="648" w:type="dxa"/>
            <w:vMerge w:val="restart"/>
            <w:textDirection w:val="btLr"/>
            <w:vAlign w:val="center"/>
          </w:tcPr>
          <w:p w:rsidR="006F1820" w:rsidRDefault="00327971">
            <w:pPr>
              <w:pStyle w:val="a4"/>
              <w:widowControl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Индивидуальный номер рабочего места</w:t>
            </w:r>
          </w:p>
        </w:tc>
        <w:tc>
          <w:tcPr>
            <w:tcW w:w="2340" w:type="dxa"/>
            <w:vMerge w:val="restart"/>
            <w:vAlign w:val="center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Наименование рабочего места и источников вредных и (или) опасных факторов производственной среды и трудового </w:t>
            </w:r>
            <w:r>
              <w:rPr>
                <w:rFonts w:ascii="Times New Roman" w:hAnsi="Times New Roman"/>
                <w:sz w:val="16"/>
                <w:szCs w:val="16"/>
              </w:rPr>
              <w:t>процесса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6F1820" w:rsidRDefault="00327971">
            <w:pPr>
              <w:pStyle w:val="a4"/>
              <w:widowControl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Численность работников, занятых на данном рабочем месте (чел.)</w:t>
            </w:r>
          </w:p>
        </w:tc>
        <w:tc>
          <w:tcPr>
            <w:tcW w:w="872" w:type="dxa"/>
            <w:vMerge w:val="restart"/>
            <w:textDirection w:val="btLr"/>
            <w:vAlign w:val="center"/>
          </w:tcPr>
          <w:p w:rsidR="006F1820" w:rsidRDefault="00327971">
            <w:pPr>
              <w:pStyle w:val="a4"/>
              <w:widowControl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Наличие аналогичного рабочего места (рабочих мест)</w:t>
            </w:r>
          </w:p>
        </w:tc>
        <w:tc>
          <w:tcPr>
            <w:tcW w:w="11340" w:type="dxa"/>
            <w:gridSpan w:val="16"/>
            <w:vAlign w:val="center"/>
          </w:tcPr>
          <w:p w:rsidR="006F1820" w:rsidRDefault="00327971">
            <w:pPr>
              <w:pStyle w:val="a4"/>
              <w:widowControl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вредных и (или) опасных факторов производственной среды и трудового процесса и продолжительность их воздействия на работ</w:t>
            </w:r>
            <w:r>
              <w:rPr>
                <w:rFonts w:ascii="Times New Roman" w:hAnsi="Times New Roman"/>
                <w:sz w:val="16"/>
                <w:szCs w:val="16"/>
              </w:rPr>
              <w:t>ника в течение рабочего дня (смены) (час.)</w:t>
            </w:r>
          </w:p>
        </w:tc>
      </w:tr>
      <w:tr w:rsidR="006F1820">
        <w:trPr>
          <w:trHeight w:val="312"/>
        </w:trPr>
        <w:tc>
          <w:tcPr>
            <w:tcW w:w="648" w:type="dxa"/>
            <w:vMerge/>
            <w:vAlign w:val="center"/>
          </w:tcPr>
          <w:p w:rsidR="006F1820" w:rsidRDefault="006F1820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vMerge/>
            <w:vAlign w:val="center"/>
          </w:tcPr>
          <w:p w:rsidR="006F1820" w:rsidRDefault="006F1820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vMerge/>
            <w:vAlign w:val="center"/>
          </w:tcPr>
          <w:p w:rsidR="006F1820" w:rsidRDefault="006F1820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2" w:type="dxa"/>
            <w:vMerge/>
            <w:vAlign w:val="center"/>
          </w:tcPr>
          <w:p w:rsidR="006F1820" w:rsidRDefault="006F1820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 w:val="restart"/>
            <w:textDirection w:val="btLr"/>
            <w:vAlign w:val="center"/>
          </w:tcPr>
          <w:p w:rsidR="006F1820" w:rsidRDefault="00327971">
            <w:pPr>
              <w:pStyle w:val="a4"/>
              <w:widowControl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химический фактор</w:t>
            </w:r>
          </w:p>
        </w:tc>
        <w:tc>
          <w:tcPr>
            <w:tcW w:w="704" w:type="dxa"/>
            <w:vMerge w:val="restart"/>
            <w:textDirection w:val="btLr"/>
            <w:vAlign w:val="center"/>
          </w:tcPr>
          <w:p w:rsidR="006F1820" w:rsidRDefault="00327971">
            <w:pPr>
              <w:pStyle w:val="a4"/>
              <w:widowControl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биологический фактор</w:t>
            </w:r>
          </w:p>
        </w:tc>
        <w:tc>
          <w:tcPr>
            <w:tcW w:w="9932" w:type="dxa"/>
            <w:gridSpan w:val="14"/>
            <w:vAlign w:val="center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Физические факторы</w:t>
            </w:r>
          </w:p>
        </w:tc>
      </w:tr>
      <w:tr w:rsidR="006F1820">
        <w:trPr>
          <w:cantSplit/>
          <w:trHeight w:val="3073"/>
        </w:trPr>
        <w:tc>
          <w:tcPr>
            <w:tcW w:w="648" w:type="dxa"/>
            <w:vMerge/>
            <w:vAlign w:val="center"/>
          </w:tcPr>
          <w:p w:rsidR="006F1820" w:rsidRDefault="006F1820">
            <w:pPr>
              <w:pStyle w:val="ConsPlusCel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vMerge/>
            <w:vAlign w:val="center"/>
          </w:tcPr>
          <w:p w:rsidR="006F1820" w:rsidRDefault="006F1820">
            <w:pPr>
              <w:pStyle w:val="ConsPlusCel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vMerge/>
            <w:vAlign w:val="center"/>
          </w:tcPr>
          <w:p w:rsidR="006F1820" w:rsidRDefault="006F1820">
            <w:pPr>
              <w:pStyle w:val="ConsPlusCel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2" w:type="dxa"/>
            <w:vMerge/>
            <w:vAlign w:val="center"/>
          </w:tcPr>
          <w:p w:rsidR="006F1820" w:rsidRDefault="006F1820">
            <w:pPr>
              <w:pStyle w:val="ConsPlusCel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6F1820" w:rsidRDefault="006F1820">
            <w:pPr>
              <w:pStyle w:val="ConsPlusCel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vAlign w:val="center"/>
          </w:tcPr>
          <w:p w:rsidR="006F1820" w:rsidRDefault="006F1820">
            <w:pPr>
              <w:pStyle w:val="ConsPlusCell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фиброгенного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действия 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шум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инфразвук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ультразвук воздушный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вибрация общая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вибрация локальная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электромагнитные поля фактора Неионизирующие поля и излучения</w:t>
            </w:r>
          </w:p>
        </w:tc>
        <w:tc>
          <w:tcPr>
            <w:tcW w:w="704" w:type="dxa"/>
            <w:textDirection w:val="btL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ультрафиолетовое излучение фактора Неионизирующие поля и излучения</w:t>
            </w:r>
          </w:p>
        </w:tc>
        <w:tc>
          <w:tcPr>
            <w:tcW w:w="780" w:type="dxa"/>
            <w:textDirection w:val="btL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лазерное излучение фактора Неионизирующие поля и излучения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ионизирующие излучения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микроклимат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световая среда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704" w:type="dxa"/>
            <w:textDirection w:val="btLr"/>
            <w:vAlign w:val="center"/>
          </w:tcPr>
          <w:p w:rsidR="006F1820" w:rsidRDefault="00327971">
            <w:pPr>
              <w:pStyle w:val="ConsPlusCell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напряженность трудового процесса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340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72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Руководство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первого заместителя генерального директора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Департамент по управлению персоналом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департамента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охраны труда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 по охране труда и технике безопасности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Департамент обеспечения деятельности филиалов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департамента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кадров и социального развития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Сметный отдел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инженера-сметчика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Отдел контрактной службы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ведущего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по защите и управлению авторскими и смежными правами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15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 (юрисконсульт)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Департамент по управлению инфраструктурой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16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департамента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земельно-имущественных отношений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17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Технический отдел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18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20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Служба по гражданской обороне, чрезвычайным ситуациям и пожарной безопасности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21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службы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службы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эксплуатации и ремонта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24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Творческо-технический Департамент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департамента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постановочного оборудования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26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Департамент цифрового развития и информационной безопасности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28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департамента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информационных систем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29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 (консультант 1С)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Гд</w:t>
            </w:r>
            <w:proofErr w:type="spellEnd"/>
            <w:r>
              <w:rPr>
                <w:sz w:val="16"/>
                <w:szCs w:val="16"/>
              </w:rPr>
              <w:t xml:space="preserve"> 30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 (программист)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31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 (программист)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инфраструктуры и технической поддержки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32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33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34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системного администратора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автоматизации системы управления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35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Контрольно-ревизионное управление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36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37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зоотехнической и ветеринарной работы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38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Административно-хозяйственный отдел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39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40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Центральная бухгалтерия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41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 (программиста)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42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внутреннего контролера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43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внутреннего контролера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бюджетирования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44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45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46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по связям с общественностью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47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ведущего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клиентского сервиса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48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49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менеджера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Отдел документооборота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50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15920" w:type="dxa"/>
            <w:gridSpan w:val="20"/>
          </w:tcPr>
          <w:p w:rsidR="006F1820" w:rsidRDefault="003279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Отдел правового обеспечения деятельности филиалов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51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52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заместителя начальника отдела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53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главного специалиста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6F1820">
        <w:tc>
          <w:tcPr>
            <w:tcW w:w="648" w:type="dxa"/>
          </w:tcPr>
          <w:p w:rsidR="006F1820" w:rsidRDefault="0032797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Гд</w:t>
            </w:r>
            <w:proofErr w:type="spellEnd"/>
            <w:r>
              <w:rPr>
                <w:sz w:val="16"/>
                <w:szCs w:val="16"/>
              </w:rPr>
              <w:t xml:space="preserve"> 54</w:t>
            </w:r>
          </w:p>
        </w:tc>
        <w:tc>
          <w:tcPr>
            <w:tcW w:w="2340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рабочее место ведущего специалиста (юрисконсульт)</w:t>
            </w:r>
          </w:p>
        </w:tc>
        <w:tc>
          <w:tcPr>
            <w:tcW w:w="720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72" w:type="dxa"/>
          </w:tcPr>
          <w:p w:rsidR="006F1820" w:rsidRDefault="0032797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ind w:left="-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80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pStyle w:val="a4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</w:tcPr>
          <w:p w:rsidR="006F1820" w:rsidRDefault="00327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6F1820" w:rsidRDefault="006F1820">
      <w:pPr>
        <w:pStyle w:val="a4"/>
        <w:jc w:val="both"/>
        <w:rPr>
          <w:rFonts w:ascii="Times New Roman" w:hAnsi="Times New Roman"/>
          <w:sz w:val="4"/>
          <w:szCs w:val="4"/>
        </w:rPr>
      </w:pPr>
    </w:p>
    <w:p w:rsidR="006F1820" w:rsidRDefault="00327971">
      <w:pPr>
        <w:pStyle w:val="a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>&lt;*&gt;</w:t>
      </w:r>
      <w:r>
        <w:rPr>
          <w:rFonts w:ascii="Times New Roman" w:hAnsi="Times New Roman"/>
          <w:sz w:val="16"/>
          <w:szCs w:val="16"/>
        </w:rPr>
        <w:t xml:space="preserve"> - Для химических веществ и АПФД перечень мест измерений и продолжительность воздействия приведен на отдельных листах (Приложение 1 и 2 к разделу </w:t>
      </w:r>
      <w:r>
        <w:rPr>
          <w:rFonts w:ascii="Times New Roman" w:hAnsi="Times New Roman"/>
          <w:sz w:val="16"/>
          <w:szCs w:val="16"/>
          <w:lang w:val="en-US"/>
        </w:rPr>
        <w:t>II</w:t>
      </w:r>
      <w:r>
        <w:rPr>
          <w:rFonts w:ascii="Times New Roman" w:hAnsi="Times New Roman"/>
          <w:sz w:val="16"/>
          <w:szCs w:val="16"/>
        </w:rPr>
        <w:t>)</w:t>
      </w:r>
    </w:p>
    <w:p w:rsidR="006F1820" w:rsidRDefault="006F1820">
      <w:pPr>
        <w:jc w:val="center"/>
      </w:pPr>
      <w:bookmarkStart w:id="0" w:name="_GoBack"/>
      <w:bookmarkEnd w:id="0"/>
    </w:p>
    <w:sectPr w:rsidR="006F1820">
      <w:type w:val="continuous"/>
      <w:pgSz w:w="16838" w:h="11906" w:orient="landscape"/>
      <w:pgMar w:top="1134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971" w:rsidRDefault="00327971">
      <w:r>
        <w:separator/>
      </w:r>
    </w:p>
  </w:endnote>
  <w:endnote w:type="continuationSeparator" w:id="0">
    <w:p w:rsidR="00327971" w:rsidRDefault="00327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е®‹дЅ“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20" w:rsidRDefault="00327971">
    <w:pPr>
      <w:pStyle w:val="a6"/>
      <w:jc w:val="center"/>
      <w:rPr>
        <w:color w:val="808080"/>
      </w:rPr>
    </w:pPr>
    <w:r>
      <w:rPr>
        <w:color w:val="808080"/>
      </w:rPr>
      <w:t xml:space="preserve">Перечень рабочих мест, на которых проводилась специальная оценка условий труда стр. </w:t>
    </w:r>
    <w:r>
      <w:rPr>
        <w:color w:val="808080"/>
      </w:rPr>
      <w:fldChar w:fldCharType="begin"/>
    </w:r>
    <w:r>
      <w:rPr>
        <w:color w:val="808080"/>
      </w:rPr>
      <w:instrText xml:space="preserve"> PAGE </w:instrText>
    </w:r>
    <w:r>
      <w:rPr>
        <w:color w:val="808080"/>
      </w:rPr>
      <w:fldChar w:fldCharType="separate"/>
    </w:r>
    <w:r w:rsidR="00A37F50">
      <w:rPr>
        <w:noProof/>
        <w:color w:val="808080"/>
      </w:rPr>
      <w:t>4</w:t>
    </w:r>
    <w:r>
      <w:rPr>
        <w:color w:val="808080"/>
      </w:rPr>
      <w:fldChar w:fldCharType="end"/>
    </w:r>
    <w:r>
      <w:rPr>
        <w:color w:val="808080"/>
      </w:rPr>
      <w:t xml:space="preserve"> из </w:t>
    </w:r>
    <w:r>
      <w:rPr>
        <w:color w:val="808080"/>
      </w:rPr>
      <w:fldChar w:fldCharType="begin"/>
    </w:r>
    <w:r>
      <w:rPr>
        <w:color w:val="808080"/>
      </w:rPr>
      <w:instrText xml:space="preserve"> NUMPAGES </w:instrText>
    </w:r>
    <w:r>
      <w:rPr>
        <w:color w:val="808080"/>
      </w:rPr>
      <w:fldChar w:fldCharType="separate"/>
    </w:r>
    <w:r w:rsidR="00A37F50">
      <w:rPr>
        <w:noProof/>
        <w:color w:val="808080"/>
      </w:rPr>
      <w:t>4</w:t>
    </w:r>
    <w:r>
      <w:rPr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971" w:rsidRDefault="00327971">
      <w:r>
        <w:separator/>
      </w:r>
    </w:p>
  </w:footnote>
  <w:footnote w:type="continuationSeparator" w:id="0">
    <w:p w:rsidR="00327971" w:rsidRDefault="00327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820"/>
    <w:rsid w:val="00327971"/>
    <w:rsid w:val="006F1820"/>
    <w:rsid w:val="00A3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3">
    <w:name w:val="caption"/>
    <w:basedOn w:val="a"/>
    <w:next w:val="a"/>
    <w:qFormat/>
    <w:rPr>
      <w:b/>
      <w:color w:val="000000"/>
    </w:rPr>
  </w:style>
  <w:style w:type="paragraph" w:styleId="a4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3">
    <w:name w:val="caption"/>
    <w:basedOn w:val="a"/>
    <w:next w:val="a"/>
    <w:qFormat/>
    <w:rPr>
      <w:b/>
      <w:color w:val="000000"/>
    </w:rPr>
  </w:style>
  <w:style w:type="paragraph" w:styleId="a4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рабочих мест, на которых проводилась специальная оценка условий труда</vt:lpstr>
    </vt:vector>
  </TitlesOfParts>
  <Company>HOME</Company>
  <LinksUpToDate>false</LinksUpToDate>
  <CharactersWithSpaces>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мест, на которых проводилась специальная оценка условий труда</dc:title>
  <dc:creator>GALINA</dc:creator>
  <cp:lastModifiedBy>Козюра Виталий Андреевич</cp:lastModifiedBy>
  <cp:revision>2</cp:revision>
  <dcterms:created xsi:type="dcterms:W3CDTF">2025-11-28T08:05:00Z</dcterms:created>
  <dcterms:modified xsi:type="dcterms:W3CDTF">2025-11-28T08:05:00Z</dcterms:modified>
  <cp:version>917504</cp:version>
</cp:coreProperties>
</file>